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Arial" w:cs="Arial" w:eastAsia="Arial" w:hAnsi="Arial"/>
          <w:b/>
          <w:bCs/>
          <w:sz w:val="30"/>
          <w:szCs w:val="30"/>
        </w:rPr>
        <w:t xml:space="preserve">PRIVACY POLICY OF THE ESMAR.KG WEBSITE</w:t>
      </w:r>
    </w:p>
    <w:p>
      <w:pPr>
        <w:spacing w:after="240"/>
        <w:jc w:val="center"/>
      </w:pPr>
      <w:r>
        <w:rPr>
          <w:rFonts w:ascii="Arial" w:cs="Arial" w:eastAsia="Arial" w:hAnsi="Arial"/>
          <w:color w:val="595959"/>
          <w:sz w:val="22"/>
          <w:szCs w:val="22"/>
        </w:rPr>
        <w:t xml:space="preserve">Edition dated August 24, 2026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Operator</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Company name: «UK Nur Capital» LLC (OsOO «UK Nur Capital»)</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Registration number</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328723-3301-000</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Taxpayer ID (INN)</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03004202610201</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OKPO (Classifier of Enterprises and Organizations)</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34904871</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Legal and actual address</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Kyrgyz Republic, Chui Region, Bishkek, Tash-Kumyrskaya St., 9</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Telephone</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+996 222111114</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Email</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info@esmar.kg</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Website</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esmar.kg (“Ismar” brand)</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Securities market licenses</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Series BD No. 092 (trust management of assets), reg. No. 88 dated 05.08.2026</w:t>
            </w:r>
          </w:p>
        </w:tc>
      </w:tr>
    </w:tbl>
    <w:p>
      <w:pPr>
        <w:pStyle w:val="Heading2"/>
        <w:keepNext/>
        <w:spacing w:after="140" w:before="300"/>
      </w:pPr>
      <w:r>
        <w:rPr>
          <w:rFonts w:ascii="Arial" w:cs="Arial" w:eastAsia="Arial" w:hAnsi="Arial"/>
          <w:b/>
          <w:bCs/>
          <w:sz w:val="24"/>
          <w:szCs w:val="24"/>
        </w:rPr>
        <w:t xml:space="preserve">1. General Provisions</w:t>
      </w:r>
    </w:p>
    <w:p>
      <w:pPr>
        <w:spacing w:after="120"/>
        <w:jc w:val="both"/>
      </w:pPr>
      <w:r>
        <w:rPr>
          <w:rFonts w:ascii="Arial" w:cs="Arial" w:eastAsia="Arial" w:hAnsi="Arial"/>
          <w:b/>
          <w:bCs/>
          <w:sz w:val="21"/>
          <w:szCs w:val="21"/>
        </w:rPr>
        <w:t xml:space="preserve">1.1. </w:t>
      </w:r>
      <w:r>
        <w:rPr>
          <w:rFonts w:ascii="Arial" w:cs="Arial" w:eastAsia="Arial" w:hAnsi="Arial"/>
          <w:sz w:val="21"/>
          <w:szCs w:val="21"/>
        </w:rPr>
        <w:t xml:space="preserve">This Privacy Policy (hereinafter — the “Policy”) defines the procedure for processing and protecting the personal data of users of the esmar.kg website (hereinafter — the “Website”), which provides information on the products and services of the “Ismar” brand.</w:t>
      </w:r>
    </w:p>
    <w:p>
      <w:pPr>
        <w:spacing w:after="120"/>
        <w:jc w:val="both"/>
      </w:pPr>
      <w:r>
        <w:rPr>
          <w:rFonts w:ascii="Arial" w:cs="Arial" w:eastAsia="Arial" w:hAnsi="Arial"/>
          <w:b/>
          <w:bCs/>
          <w:sz w:val="21"/>
          <w:szCs w:val="21"/>
        </w:rPr>
        <w:t xml:space="preserve">1.2. </w:t>
      </w:r>
      <w:r>
        <w:rPr>
          <w:rFonts w:ascii="Arial" w:cs="Arial" w:eastAsia="Arial" w:hAnsi="Arial"/>
          <w:sz w:val="21"/>
          <w:szCs w:val="21"/>
        </w:rPr>
        <w:t xml:space="preserve">The operator of the personal data processed through the use of the Website is the limited liability company «UK Nur Capital» (details are set out above; hereinafter — the “Operator”, the “Company”).</w:t>
      </w:r>
    </w:p>
    <w:p>
      <w:pPr>
        <w:spacing w:after="120"/>
        <w:jc w:val="both"/>
      </w:pPr>
      <w:r>
        <w:rPr>
          <w:rFonts w:ascii="Arial" w:cs="Arial" w:eastAsia="Arial" w:hAnsi="Arial"/>
          <w:b/>
          <w:bCs/>
          <w:sz w:val="21"/>
          <w:szCs w:val="21"/>
        </w:rPr>
        <w:t xml:space="preserve">1.3. </w:t>
      </w:r>
      <w:r>
        <w:rPr>
          <w:rFonts w:ascii="Arial" w:cs="Arial" w:eastAsia="Arial" w:hAnsi="Arial"/>
          <w:sz w:val="21"/>
          <w:szCs w:val="21"/>
        </w:rPr>
        <w:t xml:space="preserve">This Policy has been developed in accordance with the Digital Code of the Kyrgyz Republic (in force since February 5, 2026, Articles 77–91), other regulatory legal acts of the Kyrgyz Republic in the field of personal data, as well as the legislation of the Kyrgyz Republic on the securities market and on countering the legalization (laundering) of criminal proceeds and the financing of terrorism — to the extent applicable to clients of the Company’s investment products.</w:t>
      </w:r>
    </w:p>
    <w:p>
      <w:pPr>
        <w:spacing w:after="120"/>
        <w:jc w:val="both"/>
      </w:pPr>
      <w:r>
        <w:rPr>
          <w:rFonts w:ascii="Arial" w:cs="Arial" w:eastAsia="Arial" w:hAnsi="Arial"/>
          <w:b/>
          <w:bCs/>
          <w:sz w:val="21"/>
          <w:szCs w:val="21"/>
        </w:rPr>
        <w:t xml:space="preserve">1.4. </w:t>
      </w:r>
      <w:r>
        <w:rPr>
          <w:rFonts w:ascii="Arial" w:cs="Arial" w:eastAsia="Arial" w:hAnsi="Arial"/>
          <w:sz w:val="21"/>
          <w:szCs w:val="21"/>
        </w:rPr>
        <w:t xml:space="preserve">By using the Website, submitting an application, completing a feedback form, or otherwise providing their personal data, the user confirms that they have read the terms of this Policy and consents to the processing of personal data on the terms set out herein. If the user does not agree with the terms of the Policy, they must stop using the Website.</w:t>
      </w:r>
    </w:p>
    <w:p>
      <w:pPr>
        <w:spacing w:after="120"/>
        <w:jc w:val="both"/>
      </w:pPr>
      <w:r>
        <w:rPr>
          <w:rFonts w:ascii="Arial" w:cs="Arial" w:eastAsia="Arial" w:hAnsi="Arial"/>
          <w:b/>
          <w:bCs/>
          <w:sz w:val="21"/>
          <w:szCs w:val="21"/>
        </w:rPr>
        <w:t xml:space="preserve">1.5. </w:t>
      </w:r>
      <w:r>
        <w:rPr>
          <w:rFonts w:ascii="Arial" w:cs="Arial" w:eastAsia="Arial" w:hAnsi="Arial"/>
          <w:sz w:val="21"/>
          <w:szCs w:val="21"/>
        </w:rPr>
        <w:t xml:space="preserve">The Policy applies to all sections and functionality of the Website, including the “Ismar” brand product pages, application and feedback forms, and the user’s personal account — as and when it is launched.</w:t>
      </w:r>
    </w:p>
    <w:p>
      <w:pPr>
        <w:pStyle w:val="Heading2"/>
        <w:keepNext/>
        <w:spacing w:after="140" w:before="300"/>
      </w:pPr>
      <w:r>
        <w:rPr>
          <w:rFonts w:ascii="Arial" w:cs="Arial" w:eastAsia="Arial" w:hAnsi="Arial"/>
          <w:b/>
          <w:bCs/>
          <w:sz w:val="24"/>
          <w:szCs w:val="24"/>
        </w:rPr>
        <w:t xml:space="preserve">2. Terms and Definitions</w:t>
      </w:r>
    </w:p>
    <w:p>
      <w:pPr>
        <w:spacing w:after="120"/>
        <w:jc w:val="both"/>
      </w:pPr>
      <w:r>
        <w:rPr>
          <w:rFonts w:ascii="Arial" w:cs="Arial" w:eastAsia="Arial" w:hAnsi="Arial"/>
          <w:b/>
          <w:bCs/>
          <w:sz w:val="21"/>
          <w:szCs w:val="21"/>
        </w:rPr>
        <w:t xml:space="preserve">2.1. </w:t>
      </w:r>
      <w:r>
        <w:rPr>
          <w:rFonts w:ascii="Arial" w:cs="Arial" w:eastAsia="Arial" w:hAnsi="Arial"/>
          <w:sz w:val="21"/>
          <w:szCs w:val="21"/>
        </w:rPr>
        <w:t xml:space="preserve">Personal data — any information relating directly or indirectly to an identified or identifiable natural person (the personal data subject).</w:t>
      </w:r>
    </w:p>
    <w:p>
      <w:pPr>
        <w:spacing w:after="120"/>
        <w:jc w:val="both"/>
      </w:pPr>
      <w:r>
        <w:rPr>
          <w:rFonts w:ascii="Arial" w:cs="Arial" w:eastAsia="Arial" w:hAnsi="Arial"/>
          <w:b/>
          <w:bCs/>
          <w:sz w:val="21"/>
          <w:szCs w:val="21"/>
        </w:rPr>
        <w:t xml:space="preserve">2.2. </w:t>
      </w:r>
      <w:r>
        <w:rPr>
          <w:rFonts w:ascii="Arial" w:cs="Arial" w:eastAsia="Arial" w:hAnsi="Arial"/>
          <w:sz w:val="21"/>
          <w:szCs w:val="21"/>
        </w:rPr>
        <w:t xml:space="preserve">Processing of personal data — any action or set of actions performed with personal data, including collection, recording, systematization, accumulation, storage, clarification, use, transfer (dissemination, provision, access), depersonalization, blocking, deletion and destruction.</w:t>
      </w:r>
    </w:p>
    <w:p>
      <w:pPr>
        <w:spacing w:after="120"/>
        <w:jc w:val="both"/>
      </w:pPr>
      <w:r>
        <w:rPr>
          <w:rFonts w:ascii="Arial" w:cs="Arial" w:eastAsia="Arial" w:hAnsi="Arial"/>
          <w:b/>
          <w:bCs/>
          <w:sz w:val="21"/>
          <w:szCs w:val="21"/>
        </w:rPr>
        <w:t xml:space="preserve">2.3. </w:t>
      </w:r>
      <w:r>
        <w:rPr>
          <w:rFonts w:ascii="Arial" w:cs="Arial" w:eastAsia="Arial" w:hAnsi="Arial"/>
          <w:sz w:val="21"/>
          <w:szCs w:val="21"/>
        </w:rPr>
        <w:t xml:space="preserve">Operator — a legal entity that, independently or jointly with other persons, organizes and (or) carries out the processing of personal data.</w:t>
      </w:r>
    </w:p>
    <w:p>
      <w:pPr>
        <w:spacing w:after="120"/>
        <w:jc w:val="both"/>
      </w:pPr>
      <w:r>
        <w:rPr>
          <w:rFonts w:ascii="Arial" w:cs="Arial" w:eastAsia="Arial" w:hAnsi="Arial"/>
          <w:b/>
          <w:bCs/>
          <w:sz w:val="21"/>
          <w:szCs w:val="21"/>
        </w:rPr>
        <w:t xml:space="preserve">2.4. </w:t>
      </w:r>
      <w:r>
        <w:rPr>
          <w:rFonts w:ascii="Arial" w:cs="Arial" w:eastAsia="Arial" w:hAnsi="Arial"/>
          <w:sz w:val="21"/>
          <w:szCs w:val="21"/>
        </w:rPr>
        <w:t xml:space="preserve">Personal data subject (user) — a natural person to whom the processed personal data relates.</w:t>
      </w:r>
    </w:p>
    <w:p>
      <w:pPr>
        <w:spacing w:after="120"/>
        <w:jc w:val="both"/>
      </w:pPr>
      <w:r>
        <w:rPr>
          <w:rFonts w:ascii="Arial" w:cs="Arial" w:eastAsia="Arial" w:hAnsi="Arial"/>
          <w:b/>
          <w:bCs/>
          <w:sz w:val="21"/>
          <w:szCs w:val="21"/>
        </w:rPr>
        <w:t xml:space="preserve">2.5. </w:t>
      </w:r>
      <w:r>
        <w:rPr>
          <w:rFonts w:ascii="Arial" w:cs="Arial" w:eastAsia="Arial" w:hAnsi="Arial"/>
          <w:sz w:val="21"/>
          <w:szCs w:val="21"/>
        </w:rPr>
        <w:t xml:space="preserve">Authorized body — the State Agency for the Protection of Personal Data under the Cabinet of Ministers of the Kyrgyz Republic.</w:t>
      </w:r>
    </w:p>
    <w:p>
      <w:pPr>
        <w:spacing w:after="120"/>
        <w:jc w:val="both"/>
      </w:pPr>
      <w:r>
        <w:rPr>
          <w:rFonts w:ascii="Arial" w:cs="Arial" w:eastAsia="Arial" w:hAnsi="Arial"/>
          <w:b/>
          <w:bCs/>
          <w:sz w:val="21"/>
          <w:szCs w:val="21"/>
        </w:rPr>
        <w:t xml:space="preserve">2.6. </w:t>
      </w:r>
      <w:r>
        <w:rPr>
          <w:rFonts w:ascii="Arial" w:cs="Arial" w:eastAsia="Arial" w:hAnsi="Arial"/>
          <w:sz w:val="21"/>
          <w:szCs w:val="21"/>
        </w:rPr>
        <w:t xml:space="preserve">Cookies — small text files stored on the user’s device when visiting the Website.</w:t>
      </w:r>
    </w:p>
    <w:p>
      <w:pPr>
        <w:pStyle w:val="Heading2"/>
        <w:keepNext/>
        <w:spacing w:after="140" w:before="300"/>
      </w:pPr>
      <w:r>
        <w:rPr>
          <w:rFonts w:ascii="Arial" w:cs="Arial" w:eastAsia="Arial" w:hAnsi="Arial"/>
          <w:b/>
          <w:bCs/>
          <w:sz w:val="24"/>
          <w:szCs w:val="24"/>
        </w:rPr>
        <w:t xml:space="preserve">3. Personal Data Processed by the Operator</w:t>
      </w:r>
    </w:p>
    <w:p>
      <w:pPr>
        <w:spacing w:after="120"/>
        <w:jc w:val="both"/>
      </w:pPr>
      <w:r>
        <w:rPr>
          <w:rFonts w:ascii="Arial" w:cs="Arial" w:eastAsia="Arial" w:hAnsi="Arial"/>
          <w:b/>
          <w:bCs/>
          <w:sz w:val="21"/>
          <w:szCs w:val="21"/>
        </w:rPr>
        <w:t xml:space="preserve">3.1. </w:t>
      </w:r>
      <w:r>
        <w:rPr>
          <w:rFonts w:ascii="Arial" w:cs="Arial" w:eastAsia="Arial" w:hAnsi="Arial"/>
          <w:sz w:val="21"/>
          <w:szCs w:val="21"/>
        </w:rPr>
        <w:t xml:space="preserve">Data provided voluntarily by the user when completing forms on the Website:</w:t>
      </w:r>
    </w:p>
    <w:p>
      <w:pPr>
        <w:pStyle w:val="ListParagraph"/>
        <w:numPr>
          <w:ilvl w:val="0"/>
          <w:numId w:val="2"/>
        </w:numPr>
        <w:spacing w:after="80"/>
      </w:pPr>
      <w:r>
        <w:rPr>
          <w:rFonts w:ascii="Arial" w:cs="Arial" w:eastAsia="Arial" w:hAnsi="Arial"/>
          <w:sz w:val="21"/>
          <w:szCs w:val="21"/>
        </w:rPr>
        <w:t xml:space="preserve">name;</w:t>
      </w:r>
    </w:p>
    <w:p>
      <w:pPr>
        <w:pStyle w:val="ListParagraph"/>
        <w:numPr>
          <w:ilvl w:val="0"/>
          <w:numId w:val="2"/>
        </w:numPr>
        <w:spacing w:after="80"/>
      </w:pPr>
      <w:r>
        <w:rPr>
          <w:rFonts w:ascii="Arial" w:cs="Arial" w:eastAsia="Arial" w:hAnsi="Arial"/>
          <w:sz w:val="21"/>
          <w:szCs w:val="21"/>
        </w:rPr>
        <w:t xml:space="preserve">telephone number;</w:t>
      </w:r>
    </w:p>
    <w:p>
      <w:pPr>
        <w:pStyle w:val="ListParagraph"/>
        <w:numPr>
          <w:ilvl w:val="0"/>
          <w:numId w:val="2"/>
        </w:numPr>
        <w:spacing w:after="80"/>
      </w:pPr>
      <w:r>
        <w:rPr>
          <w:rFonts w:ascii="Arial" w:cs="Arial" w:eastAsia="Arial" w:hAnsi="Arial"/>
          <w:sz w:val="21"/>
          <w:szCs w:val="21"/>
        </w:rPr>
        <w:t xml:space="preserve">email address;</w:t>
      </w:r>
    </w:p>
    <w:p>
      <w:pPr>
        <w:pStyle w:val="ListParagraph"/>
        <w:numPr>
          <w:ilvl w:val="0"/>
          <w:numId w:val="2"/>
        </w:numPr>
        <w:spacing w:after="80"/>
      </w:pPr>
      <w:r>
        <w:rPr>
          <w:rFonts w:ascii="Arial" w:cs="Arial" w:eastAsia="Arial" w:hAnsi="Arial"/>
          <w:sz w:val="21"/>
          <w:szCs w:val="21"/>
        </w:rPr>
        <w:t xml:space="preserve">the content of the inquiry (application) and other information voluntarily provided by the user.</w:t>
      </w:r>
    </w:p>
    <w:p>
      <w:pPr>
        <w:spacing w:after="120"/>
        <w:jc w:val="both"/>
      </w:pPr>
      <w:r>
        <w:rPr>
          <w:rFonts w:ascii="Arial" w:cs="Arial" w:eastAsia="Arial" w:hAnsi="Arial"/>
          <w:b/>
          <w:bCs/>
          <w:sz w:val="21"/>
          <w:szCs w:val="21"/>
        </w:rPr>
        <w:t xml:space="preserve">3.2. </w:t>
      </w:r>
      <w:r>
        <w:rPr>
          <w:rFonts w:ascii="Arial" w:cs="Arial" w:eastAsia="Arial" w:hAnsi="Arial"/>
          <w:sz w:val="21"/>
          <w:szCs w:val="21"/>
        </w:rPr>
        <w:t xml:space="preserve">Data collected automatically when visiting the Website:</w:t>
      </w:r>
    </w:p>
    <w:p>
      <w:pPr>
        <w:pStyle w:val="ListParagraph"/>
        <w:numPr>
          <w:ilvl w:val="0"/>
          <w:numId w:val="2"/>
        </w:numPr>
        <w:spacing w:after="80"/>
      </w:pPr>
      <w:r>
        <w:rPr>
          <w:rFonts w:ascii="Arial" w:cs="Arial" w:eastAsia="Arial" w:hAnsi="Arial"/>
          <w:sz w:val="21"/>
          <w:szCs w:val="21"/>
        </w:rPr>
        <w:t xml:space="preserve">IP address;</w:t>
      </w:r>
    </w:p>
    <w:p>
      <w:pPr>
        <w:pStyle w:val="ListParagraph"/>
        <w:numPr>
          <w:ilvl w:val="0"/>
          <w:numId w:val="2"/>
        </w:numPr>
        <w:spacing w:after="80"/>
      </w:pPr>
      <w:r>
        <w:rPr>
          <w:rFonts w:ascii="Arial" w:cs="Arial" w:eastAsia="Arial" w:hAnsi="Arial"/>
          <w:sz w:val="21"/>
          <w:szCs w:val="21"/>
        </w:rPr>
        <w:t xml:space="preserve">cookies and similar technologies;</w:t>
      </w:r>
    </w:p>
    <w:p>
      <w:pPr>
        <w:pStyle w:val="ListParagraph"/>
        <w:numPr>
          <w:ilvl w:val="0"/>
          <w:numId w:val="2"/>
        </w:numPr>
        <w:spacing w:after="80"/>
      </w:pPr>
      <w:r>
        <w:rPr>
          <w:rFonts w:ascii="Arial" w:cs="Arial" w:eastAsia="Arial" w:hAnsi="Arial"/>
          <w:sz w:val="21"/>
          <w:szCs w:val="21"/>
        </w:rPr>
        <w:t xml:space="preserve">data about the browser, device and operating system;</w:t>
      </w:r>
    </w:p>
    <w:p>
      <w:pPr>
        <w:pStyle w:val="ListParagraph"/>
        <w:numPr>
          <w:ilvl w:val="0"/>
          <w:numId w:val="2"/>
        </w:numPr>
        <w:spacing w:after="80"/>
      </w:pPr>
      <w:r>
        <w:rPr>
          <w:rFonts w:ascii="Arial" w:cs="Arial" w:eastAsia="Arial" w:hAnsi="Arial"/>
          <w:sz w:val="21"/>
          <w:szCs w:val="21"/>
        </w:rPr>
        <w:t xml:space="preserve">pages visited, referral source, session time and duration, and other statistics collected by analytics services connected to the Website.</w:t>
      </w:r>
    </w:p>
    <w:p>
      <w:pPr>
        <w:spacing w:after="120"/>
        <w:jc w:val="both"/>
      </w:pPr>
      <w:r>
        <w:rPr>
          <w:rFonts w:ascii="Arial" w:cs="Arial" w:eastAsia="Arial" w:hAnsi="Arial"/>
          <w:b/>
          <w:bCs/>
          <w:sz w:val="21"/>
          <w:szCs w:val="21"/>
        </w:rPr>
        <w:t xml:space="preserve">3.3. </w:t>
      </w:r>
      <w:r>
        <w:rPr>
          <w:rFonts w:ascii="Arial" w:cs="Arial" w:eastAsia="Arial" w:hAnsi="Arial"/>
          <w:sz w:val="21"/>
          <w:szCs w:val="21"/>
        </w:rPr>
        <w:t xml:space="preserve">When proceeding to enter into an investment relationship under the “Ismar” brand investment products (conclusion of an investment agreement), the Company additionally processes data required for client identification (KYC) and compliance with the legislation on countering the legalization (laundering) of criminal proceeds and the financing of terrorism, including passport data and information on the origin of funds. The processing of such data is governed by the terms of the investment agreement and a separate consent given by the investor upon signing it; this Policy applies to such processing to the extent that it does not conflict with the terms of that agreement.</w:t>
      </w:r>
    </w:p>
    <w:p>
      <w:pPr>
        <w:spacing w:after="120"/>
        <w:jc w:val="both"/>
      </w:pPr>
      <w:r>
        <w:rPr>
          <w:rFonts w:ascii="Arial" w:cs="Arial" w:eastAsia="Arial" w:hAnsi="Arial"/>
          <w:b/>
          <w:bCs/>
          <w:sz w:val="21"/>
          <w:szCs w:val="21"/>
        </w:rPr>
        <w:t xml:space="preserve">3.4. </w:t>
      </w:r>
      <w:r>
        <w:rPr>
          <w:rFonts w:ascii="Arial" w:cs="Arial" w:eastAsia="Arial" w:hAnsi="Arial"/>
          <w:sz w:val="21"/>
          <w:szCs w:val="21"/>
        </w:rPr>
        <w:t xml:space="preserve">The Operator does not request or process, through the Website, special categories of personal data (concerning health, ethnicity, religious or political beliefs, etc.). Users should not provide such information in feedback forms.</w:t>
      </w:r>
    </w:p>
    <w:p>
      <w:pPr>
        <w:pStyle w:val="Heading2"/>
        <w:keepNext/>
        <w:spacing w:after="140" w:before="300"/>
      </w:pPr>
      <w:r>
        <w:rPr>
          <w:rFonts w:ascii="Arial" w:cs="Arial" w:eastAsia="Arial" w:hAnsi="Arial"/>
          <w:b/>
          <w:bCs/>
          <w:sz w:val="24"/>
          <w:szCs w:val="24"/>
        </w:rPr>
        <w:t xml:space="preserve">4. Purposes of Personal Data Processing</w:t>
      </w:r>
    </w:p>
    <w:p>
      <w:pPr>
        <w:spacing w:after="120"/>
        <w:jc w:val="both"/>
      </w:pPr>
      <w:r>
        <w:rPr>
          <w:rFonts w:ascii="Arial" w:cs="Arial" w:eastAsia="Arial" w:hAnsi="Arial"/>
          <w:sz w:val="21"/>
          <w:szCs w:val="21"/>
        </w:rPr>
        <w:t xml:space="preserve">The Operator processes personal data for the following purposes:</w:t>
      </w:r>
    </w:p>
    <w:p>
      <w:pPr>
        <w:spacing w:after="120"/>
        <w:jc w:val="both"/>
      </w:pPr>
      <w:r>
        <w:rPr>
          <w:rFonts w:ascii="Arial" w:cs="Arial" w:eastAsia="Arial" w:hAnsi="Arial"/>
          <w:b/>
          <w:bCs/>
          <w:sz w:val="21"/>
          <w:szCs w:val="21"/>
        </w:rPr>
        <w:t xml:space="preserve">4.1. </w:t>
      </w:r>
      <w:r>
        <w:rPr>
          <w:rFonts w:ascii="Arial" w:cs="Arial" w:eastAsia="Arial" w:hAnsi="Arial"/>
          <w:sz w:val="21"/>
          <w:szCs w:val="21"/>
        </w:rPr>
        <w:t xml:space="preserve">processing users’ applications and inquiries, providing consultations on the products and services of the “Ismar” brand, and communicating with the user;</w:t>
      </w:r>
    </w:p>
    <w:p>
      <w:pPr>
        <w:spacing w:after="120"/>
        <w:jc w:val="both"/>
      </w:pPr>
      <w:r>
        <w:rPr>
          <w:rFonts w:ascii="Arial" w:cs="Arial" w:eastAsia="Arial" w:hAnsi="Arial"/>
          <w:b/>
          <w:bCs/>
          <w:sz w:val="21"/>
          <w:szCs w:val="21"/>
        </w:rPr>
        <w:t xml:space="preserve">4.2. </w:t>
      </w:r>
      <w:r>
        <w:rPr>
          <w:rFonts w:ascii="Arial" w:cs="Arial" w:eastAsia="Arial" w:hAnsi="Arial"/>
          <w:sz w:val="21"/>
          <w:szCs w:val="21"/>
        </w:rPr>
        <w:t xml:space="preserve">ensuring the operation of the Website, its technical administration, and the analysis and improvement of the user experience;</w:t>
      </w:r>
    </w:p>
    <w:p>
      <w:pPr>
        <w:spacing w:after="120"/>
        <w:jc w:val="both"/>
      </w:pPr>
      <w:r>
        <w:rPr>
          <w:rFonts w:ascii="Arial" w:cs="Arial" w:eastAsia="Arial" w:hAnsi="Arial"/>
          <w:b/>
          <w:bCs/>
          <w:sz w:val="21"/>
          <w:szCs w:val="21"/>
        </w:rPr>
        <w:t xml:space="preserve">4.3. </w:t>
      </w:r>
      <w:r>
        <w:rPr>
          <w:rFonts w:ascii="Arial" w:cs="Arial" w:eastAsia="Arial" w:hAnsi="Arial"/>
          <w:sz w:val="21"/>
          <w:szCs w:val="21"/>
        </w:rPr>
        <w:t xml:space="preserve">conducting statistical and analytical studies of the Website’s traffic and effectiveness;</w:t>
      </w:r>
    </w:p>
    <w:p>
      <w:pPr>
        <w:spacing w:after="120"/>
        <w:jc w:val="both"/>
      </w:pPr>
      <w:r>
        <w:rPr>
          <w:rFonts w:ascii="Arial" w:cs="Arial" w:eastAsia="Arial" w:hAnsi="Arial"/>
          <w:b/>
          <w:bCs/>
          <w:sz w:val="21"/>
          <w:szCs w:val="21"/>
        </w:rPr>
        <w:t xml:space="preserve">4.4. </w:t>
      </w:r>
      <w:r>
        <w:rPr>
          <w:rFonts w:ascii="Arial" w:cs="Arial" w:eastAsia="Arial" w:hAnsi="Arial"/>
          <w:sz w:val="21"/>
          <w:szCs w:val="21"/>
        </w:rPr>
        <w:t xml:space="preserve">sending informational and promotional materials about the Company’s products — subject to the user’s separate consent;</w:t>
      </w:r>
    </w:p>
    <w:p>
      <w:pPr>
        <w:spacing w:after="120"/>
        <w:jc w:val="both"/>
      </w:pPr>
      <w:r>
        <w:rPr>
          <w:rFonts w:ascii="Arial" w:cs="Arial" w:eastAsia="Arial" w:hAnsi="Arial"/>
          <w:b/>
          <w:bCs/>
          <w:sz w:val="21"/>
          <w:szCs w:val="21"/>
        </w:rPr>
        <w:t xml:space="preserve">4.5. </w:t>
      </w:r>
      <w:r>
        <w:rPr>
          <w:rFonts w:ascii="Arial" w:cs="Arial" w:eastAsia="Arial" w:hAnsi="Arial"/>
          <w:sz w:val="21"/>
          <w:szCs w:val="21"/>
        </w:rPr>
        <w:t xml:space="preserve">fulfilling obligations provided for by the legislation of the Kyrgyz Republic, including in the area of client identification and countering the legalization (laundering) of criminal proceeds and the financing of terrorism — in respect of persons entering into investment agreements.</w:t>
      </w:r>
    </w:p>
    <w:p>
      <w:pPr>
        <w:pStyle w:val="Heading2"/>
        <w:keepNext/>
        <w:spacing w:after="140" w:before="300"/>
      </w:pPr>
      <w:r>
        <w:rPr>
          <w:rFonts w:ascii="Arial" w:cs="Arial" w:eastAsia="Arial" w:hAnsi="Arial"/>
          <w:b/>
          <w:bCs/>
          <w:sz w:val="24"/>
          <w:szCs w:val="24"/>
        </w:rPr>
        <w:t xml:space="preserve">5. Legal Grounds for Processing</w:t>
      </w:r>
    </w:p>
    <w:p>
      <w:pPr>
        <w:spacing w:after="120"/>
        <w:jc w:val="both"/>
      </w:pPr>
      <w:r>
        <w:rPr>
          <w:rFonts w:ascii="Arial" w:cs="Arial" w:eastAsia="Arial" w:hAnsi="Arial"/>
          <w:sz w:val="21"/>
          <w:szCs w:val="21"/>
        </w:rPr>
        <w:t xml:space="preserve">Personal data is processed on the basis of:</w:t>
      </w:r>
    </w:p>
    <w:p>
      <w:pPr>
        <w:spacing w:after="120"/>
        <w:jc w:val="both"/>
      </w:pPr>
      <w:r>
        <w:rPr>
          <w:rFonts w:ascii="Arial" w:cs="Arial" w:eastAsia="Arial" w:hAnsi="Arial"/>
          <w:b/>
          <w:bCs/>
          <w:sz w:val="21"/>
          <w:szCs w:val="21"/>
        </w:rPr>
        <w:t xml:space="preserve">5.1. </w:t>
      </w:r>
      <w:r>
        <w:rPr>
          <w:rFonts w:ascii="Arial" w:cs="Arial" w:eastAsia="Arial" w:hAnsi="Arial"/>
          <w:sz w:val="21"/>
          <w:szCs w:val="21"/>
        </w:rPr>
        <w:t xml:space="preserve">the consent of the personal data subject;</w:t>
      </w:r>
    </w:p>
    <w:p>
      <w:pPr>
        <w:spacing w:after="120"/>
        <w:jc w:val="both"/>
      </w:pPr>
      <w:r>
        <w:rPr>
          <w:rFonts w:ascii="Arial" w:cs="Arial" w:eastAsia="Arial" w:hAnsi="Arial"/>
          <w:b/>
          <w:bCs/>
          <w:sz w:val="21"/>
          <w:szCs w:val="21"/>
        </w:rPr>
        <w:t xml:space="preserve">5.2. </w:t>
      </w:r>
      <w:r>
        <w:rPr>
          <w:rFonts w:ascii="Arial" w:cs="Arial" w:eastAsia="Arial" w:hAnsi="Arial"/>
          <w:sz w:val="21"/>
          <w:szCs w:val="21"/>
        </w:rPr>
        <w:t xml:space="preserve">the necessity of processing for the conclusion and performance of a contract to which the personal data subject is a party (the investment agreement and related documents);</w:t>
      </w:r>
    </w:p>
    <w:p>
      <w:pPr>
        <w:spacing w:after="120"/>
        <w:jc w:val="both"/>
      </w:pPr>
      <w:r>
        <w:rPr>
          <w:rFonts w:ascii="Arial" w:cs="Arial" w:eastAsia="Arial" w:hAnsi="Arial"/>
          <w:b/>
          <w:bCs/>
          <w:sz w:val="21"/>
          <w:szCs w:val="21"/>
        </w:rPr>
        <w:t xml:space="preserve">5.3. </w:t>
      </w:r>
      <w:r>
        <w:rPr>
          <w:rFonts w:ascii="Arial" w:cs="Arial" w:eastAsia="Arial" w:hAnsi="Arial"/>
          <w:sz w:val="21"/>
          <w:szCs w:val="21"/>
        </w:rPr>
        <w:t xml:space="preserve">the necessity of fulfilling an obligation provided for by the legislation of the Kyrgyz Republic.</w:t>
      </w:r>
    </w:p>
    <w:p>
      <w:pPr>
        <w:pStyle w:val="Heading2"/>
        <w:keepNext/>
        <w:spacing w:after="140" w:before="300"/>
      </w:pPr>
      <w:r>
        <w:rPr>
          <w:rFonts w:ascii="Arial" w:cs="Arial" w:eastAsia="Arial" w:hAnsi="Arial"/>
          <w:b/>
          <w:bCs/>
          <w:sz w:val="24"/>
          <w:szCs w:val="24"/>
        </w:rPr>
        <w:t xml:space="preserve">6. Procedure and Terms of Personal Data Processing</w:t>
      </w:r>
    </w:p>
    <w:p>
      <w:pPr>
        <w:spacing w:after="120"/>
        <w:jc w:val="both"/>
      </w:pPr>
      <w:r>
        <w:rPr>
          <w:rFonts w:ascii="Arial" w:cs="Arial" w:eastAsia="Arial" w:hAnsi="Arial"/>
          <w:b/>
          <w:bCs/>
          <w:sz w:val="21"/>
          <w:szCs w:val="21"/>
        </w:rPr>
        <w:t xml:space="preserve">6.1. </w:t>
      </w:r>
      <w:r>
        <w:rPr>
          <w:rFonts w:ascii="Arial" w:cs="Arial" w:eastAsia="Arial" w:hAnsi="Arial"/>
          <w:sz w:val="21"/>
          <w:szCs w:val="21"/>
        </w:rPr>
        <w:t xml:space="preserve">Personal data is processed with and without the use of automation tools, by any lawful means, including collection, recording, systematization, accumulation, storage, clarification, use, transfer, depersonalization, blocking, deletion and destruction.</w:t>
      </w:r>
    </w:p>
    <w:p>
      <w:pPr>
        <w:spacing w:after="120"/>
        <w:jc w:val="both"/>
      </w:pPr>
      <w:r>
        <w:rPr>
          <w:rFonts w:ascii="Arial" w:cs="Arial" w:eastAsia="Arial" w:hAnsi="Arial"/>
          <w:b/>
          <w:bCs/>
          <w:sz w:val="21"/>
          <w:szCs w:val="21"/>
        </w:rPr>
        <w:t xml:space="preserve">6.2. </w:t>
      </w:r>
      <w:r>
        <w:rPr>
          <w:rFonts w:ascii="Arial" w:cs="Arial" w:eastAsia="Arial" w:hAnsi="Arial"/>
          <w:sz w:val="21"/>
          <w:szCs w:val="21"/>
        </w:rPr>
        <w:t xml:space="preserve">Personal data is stored no longer than required by the purposes of its processing, unless a different storage period is established by the legislation of the Kyrgyz Republic (including the requirements for the retention of documents of financial organizations and the requirements of the legislation on countering the legalization (laundering) of criminal proceeds and the financing of terrorism).</w:t>
      </w:r>
    </w:p>
    <w:p>
      <w:pPr>
        <w:spacing w:after="120"/>
        <w:jc w:val="both"/>
      </w:pPr>
      <w:r>
        <w:rPr>
          <w:rFonts w:ascii="Arial" w:cs="Arial" w:eastAsia="Arial" w:hAnsi="Arial"/>
          <w:b/>
          <w:bCs/>
          <w:sz w:val="21"/>
          <w:szCs w:val="21"/>
        </w:rPr>
        <w:t xml:space="preserve">6.3. </w:t>
      </w:r>
      <w:r>
        <w:rPr>
          <w:rFonts w:ascii="Arial" w:cs="Arial" w:eastAsia="Arial" w:hAnsi="Arial"/>
          <w:sz w:val="21"/>
          <w:szCs w:val="21"/>
        </w:rPr>
        <w:t xml:space="preserve">Upon achievement of the purposes of processing or in the event of withdrawal of consent, personal data must be destroyed or depersonalized, except where its further storage is required by law.</w:t>
      </w:r>
    </w:p>
    <w:p>
      <w:pPr>
        <w:pStyle w:val="Heading2"/>
        <w:keepNext/>
        <w:spacing w:after="140" w:before="300"/>
      </w:pPr>
      <w:r>
        <w:rPr>
          <w:rFonts w:ascii="Arial" w:cs="Arial" w:eastAsia="Arial" w:hAnsi="Arial"/>
          <w:b/>
          <w:bCs/>
          <w:sz w:val="24"/>
          <w:szCs w:val="24"/>
        </w:rPr>
        <w:t xml:space="preserve">7. Transfer of Personal Data to Third Parties</w:t>
      </w:r>
    </w:p>
    <w:p>
      <w:pPr>
        <w:spacing w:after="120"/>
        <w:jc w:val="both"/>
      </w:pPr>
      <w:r>
        <w:rPr>
          <w:rFonts w:ascii="Arial" w:cs="Arial" w:eastAsia="Arial" w:hAnsi="Arial"/>
          <w:b/>
          <w:bCs/>
          <w:sz w:val="21"/>
          <w:szCs w:val="21"/>
        </w:rPr>
        <w:t xml:space="preserve">7.1. </w:t>
      </w:r>
      <w:r>
        <w:rPr>
          <w:rFonts w:ascii="Arial" w:cs="Arial" w:eastAsia="Arial" w:hAnsi="Arial"/>
          <w:sz w:val="21"/>
          <w:szCs w:val="21"/>
        </w:rPr>
        <w:t xml:space="preserve">The Operator may transfer personal data (or provide access to it) to:</w:t>
      </w:r>
    </w:p>
    <w:p>
      <w:pPr>
        <w:pStyle w:val="ListParagraph"/>
        <w:numPr>
          <w:ilvl w:val="0"/>
          <w:numId w:val="2"/>
        </w:numPr>
        <w:spacing w:after="80"/>
      </w:pPr>
      <w:r>
        <w:rPr>
          <w:rFonts w:ascii="Arial" w:cs="Arial" w:eastAsia="Arial" w:hAnsi="Arial"/>
          <w:sz w:val="21"/>
          <w:szCs w:val="21"/>
        </w:rPr>
        <w:t xml:space="preserve">the Operator’s employees who require access to perform their job duties;</w:t>
      </w:r>
    </w:p>
    <w:p>
      <w:pPr>
        <w:pStyle w:val="ListParagraph"/>
        <w:numPr>
          <w:ilvl w:val="0"/>
          <w:numId w:val="2"/>
        </w:numPr>
        <w:spacing w:after="80"/>
      </w:pPr>
      <w:r>
        <w:rPr>
          <w:rFonts w:ascii="Arial" w:cs="Arial" w:eastAsia="Arial" w:hAnsi="Arial"/>
          <w:sz w:val="21"/>
          <w:szCs w:val="21"/>
        </w:rPr>
        <w:t xml:space="preserve">partners and contractors providing the Operator with hosting, Website technical support, analytics, mailing, telephony and other similar services — to the extent necessary to provide such services and subject to their observance of confidentiality;</w:t>
      </w:r>
    </w:p>
    <w:p>
      <w:pPr>
        <w:pStyle w:val="ListParagraph"/>
        <w:numPr>
          <w:ilvl w:val="0"/>
          <w:numId w:val="2"/>
        </w:numPr>
        <w:spacing w:after="80"/>
      </w:pPr>
      <w:r>
        <w:rPr>
          <w:rFonts w:ascii="Arial" w:cs="Arial" w:eastAsia="Arial" w:hAnsi="Arial"/>
          <w:sz w:val="21"/>
          <w:szCs w:val="21"/>
        </w:rPr>
        <w:t xml:space="preserve">in the course of implementing “Ismar” brand investment projects — MANAS TRADE company and other professional advisers and partners engaged in the implementation of investment projects, to the extent provided for by the investment agreement;</w:t>
      </w:r>
    </w:p>
    <w:p>
      <w:pPr>
        <w:pStyle w:val="ListParagraph"/>
        <w:numPr>
          <w:ilvl w:val="0"/>
          <w:numId w:val="2"/>
        </w:numPr>
        <w:spacing w:after="80"/>
      </w:pPr>
      <w:r>
        <w:rPr>
          <w:rFonts w:ascii="Arial" w:cs="Arial" w:eastAsia="Arial" w:hAnsi="Arial"/>
          <w:sz w:val="21"/>
          <w:szCs w:val="21"/>
        </w:rPr>
        <w:t xml:space="preserve">state authorities of the Kyrgyz Republic — upon their lawful request and in the manner prescribed by legislation.</w:t>
      </w:r>
    </w:p>
    <w:p>
      <w:pPr>
        <w:spacing w:after="120"/>
        <w:jc w:val="both"/>
      </w:pPr>
      <w:r>
        <w:rPr>
          <w:rFonts w:ascii="Arial" w:cs="Arial" w:eastAsia="Arial" w:hAnsi="Arial"/>
          <w:b/>
          <w:bCs/>
          <w:sz w:val="21"/>
          <w:szCs w:val="21"/>
        </w:rPr>
        <w:t xml:space="preserve">7.2. </w:t>
      </w:r>
      <w:r>
        <w:rPr>
          <w:rFonts w:ascii="Arial" w:cs="Arial" w:eastAsia="Arial" w:hAnsi="Arial"/>
          <w:sz w:val="21"/>
          <w:szCs w:val="21"/>
        </w:rPr>
        <w:t xml:space="preserve">The Operator does not transfer personal data to third parties for purposes other than those specified in this Policy without the additional consent of the personal data subject, except in cases expressly provided for by legislation.</w:t>
      </w:r>
    </w:p>
    <w:p>
      <w:pPr>
        <w:pStyle w:val="Heading2"/>
        <w:keepNext/>
        <w:spacing w:after="140" w:before="300"/>
      </w:pPr>
      <w:r>
        <w:rPr>
          <w:rFonts w:ascii="Arial" w:cs="Arial" w:eastAsia="Arial" w:hAnsi="Arial"/>
          <w:b/>
          <w:bCs/>
          <w:sz w:val="24"/>
          <w:szCs w:val="24"/>
        </w:rPr>
        <w:t xml:space="preserve">8. Cross-Border Transfer of Personal Data</w:t>
      </w:r>
    </w:p>
    <w:p>
      <w:pPr>
        <w:spacing w:after="120"/>
        <w:jc w:val="both"/>
      </w:pPr>
      <w:r>
        <w:rPr>
          <w:rFonts w:ascii="Arial" w:cs="Arial" w:eastAsia="Arial" w:hAnsi="Arial"/>
          <w:b/>
          <w:bCs/>
          <w:sz w:val="21"/>
          <w:szCs w:val="21"/>
        </w:rPr>
        <w:t xml:space="preserve">8.1. </w:t>
      </w:r>
      <w:r>
        <w:rPr>
          <w:rFonts w:ascii="Arial" w:cs="Arial" w:eastAsia="Arial" w:hAnsi="Arial"/>
          <w:sz w:val="21"/>
          <w:szCs w:val="21"/>
        </w:rPr>
        <w:t xml:space="preserve">If the Operator uses services whose servers are located outside the Kyrgyz Republic (in particular, certain analytics, hosting or mailing services), a cross-border transfer of personal data may take place.</w:t>
      </w:r>
    </w:p>
    <w:p>
      <w:pPr>
        <w:spacing w:after="120"/>
        <w:jc w:val="both"/>
      </w:pPr>
      <w:r>
        <w:rPr>
          <w:rFonts w:ascii="Arial" w:cs="Arial" w:eastAsia="Arial" w:hAnsi="Arial"/>
          <w:b/>
          <w:bCs/>
          <w:sz w:val="21"/>
          <w:szCs w:val="21"/>
        </w:rPr>
        <w:t xml:space="preserve">8.2. </w:t>
      </w:r>
      <w:r>
        <w:rPr>
          <w:rFonts w:ascii="Arial" w:cs="Arial" w:eastAsia="Arial" w:hAnsi="Arial"/>
          <w:sz w:val="21"/>
          <w:szCs w:val="21"/>
        </w:rPr>
        <w:t xml:space="preserve">Such transfer is carried out in compliance with the requirements of the Digital Code of the Kyrgyz Republic — subject to the consent of the personal data subject, contractual data protection guarantees from the recipient, or other lawful grounds.</w:t>
      </w:r>
    </w:p>
    <w:p>
      <w:pPr>
        <w:spacing w:after="120"/>
        <w:jc w:val="both"/>
      </w:pPr>
      <w:r>
        <w:rPr>
          <w:rFonts w:ascii="Arial" w:cs="Arial" w:eastAsia="Arial" w:hAnsi="Arial"/>
          <w:b/>
          <w:bCs/>
          <w:sz w:val="21"/>
          <w:szCs w:val="21"/>
        </w:rPr>
        <w:t xml:space="preserve">8.3. </w:t>
      </w:r>
      <w:r>
        <w:rPr>
          <w:rFonts w:ascii="Arial" w:cs="Arial" w:eastAsia="Arial" w:hAnsi="Arial"/>
          <w:sz w:val="21"/>
          <w:szCs w:val="21"/>
        </w:rPr>
        <w:t xml:space="preserve">The current list of services used by the Operator that process data outside the Kyrgyz Republic is provided to users upon request sent to the contact details specified in Section 12 of this Policy.</w:t>
      </w:r>
    </w:p>
    <w:p>
      <w:pPr>
        <w:pStyle w:val="Heading2"/>
        <w:keepNext/>
        <w:spacing w:after="140" w:before="300"/>
      </w:pPr>
      <w:r>
        <w:rPr>
          <w:rFonts w:ascii="Arial" w:cs="Arial" w:eastAsia="Arial" w:hAnsi="Arial"/>
          <w:b/>
          <w:bCs/>
          <w:sz w:val="24"/>
          <w:szCs w:val="24"/>
        </w:rPr>
        <w:t xml:space="preserve">9. Cookies and Similar Technologies</w:t>
      </w:r>
    </w:p>
    <w:p>
      <w:pPr>
        <w:spacing w:after="120"/>
        <w:jc w:val="both"/>
      </w:pPr>
      <w:r>
        <w:rPr>
          <w:rFonts w:ascii="Arial" w:cs="Arial" w:eastAsia="Arial" w:hAnsi="Arial"/>
          <w:b/>
          <w:bCs/>
          <w:sz w:val="21"/>
          <w:szCs w:val="21"/>
        </w:rPr>
        <w:t xml:space="preserve">9.1. </w:t>
      </w:r>
      <w:r>
        <w:rPr>
          <w:rFonts w:ascii="Arial" w:cs="Arial" w:eastAsia="Arial" w:hAnsi="Arial"/>
          <w:sz w:val="21"/>
          <w:szCs w:val="21"/>
        </w:rPr>
        <w:t xml:space="preserve">The Website may use the following types of cookies:</w:t>
      </w:r>
    </w:p>
    <w:p>
      <w:pPr>
        <w:pStyle w:val="ListParagraph"/>
        <w:numPr>
          <w:ilvl w:val="0"/>
          <w:numId w:val="2"/>
        </w:numPr>
        <w:spacing w:after="80"/>
      </w:pPr>
      <w:r>
        <w:rPr>
          <w:rFonts w:ascii="Arial" w:cs="Arial" w:eastAsia="Arial" w:hAnsi="Arial"/>
          <w:sz w:val="21"/>
          <w:szCs w:val="21"/>
        </w:rPr>
        <w:t xml:space="preserve">strictly necessary — ensure the correct operation of the Website;</w:t>
      </w:r>
    </w:p>
    <w:p>
      <w:pPr>
        <w:pStyle w:val="ListParagraph"/>
        <w:numPr>
          <w:ilvl w:val="0"/>
          <w:numId w:val="2"/>
        </w:numPr>
        <w:spacing w:after="80"/>
      </w:pPr>
      <w:r>
        <w:rPr>
          <w:rFonts w:ascii="Arial" w:cs="Arial" w:eastAsia="Arial" w:hAnsi="Arial"/>
          <w:sz w:val="21"/>
          <w:szCs w:val="21"/>
        </w:rPr>
        <w:t xml:space="preserve">analytical — used to analyze traffic and user behavior on the Website;</w:t>
      </w:r>
    </w:p>
    <w:p>
      <w:pPr>
        <w:pStyle w:val="ListParagraph"/>
        <w:numPr>
          <w:ilvl w:val="0"/>
          <w:numId w:val="2"/>
        </w:numPr>
        <w:spacing w:after="80"/>
      </w:pPr>
      <w:r>
        <w:rPr>
          <w:rFonts w:ascii="Arial" w:cs="Arial" w:eastAsia="Arial" w:hAnsi="Arial"/>
          <w:sz w:val="21"/>
          <w:szCs w:val="21"/>
        </w:rPr>
        <w:t xml:space="preserve">marketing — used to personalize promotional materials (subject to the user’s consent).</w:t>
      </w:r>
    </w:p>
    <w:p>
      <w:pPr>
        <w:spacing w:after="120"/>
        <w:jc w:val="both"/>
      </w:pPr>
      <w:r>
        <w:rPr>
          <w:rFonts w:ascii="Arial" w:cs="Arial" w:eastAsia="Arial" w:hAnsi="Arial"/>
          <w:b/>
          <w:bCs/>
          <w:sz w:val="21"/>
          <w:szCs w:val="21"/>
        </w:rPr>
        <w:t xml:space="preserve">9.2. </w:t>
      </w:r>
      <w:r>
        <w:rPr>
          <w:rFonts w:ascii="Arial" w:cs="Arial" w:eastAsia="Arial" w:hAnsi="Arial"/>
          <w:sz w:val="21"/>
          <w:szCs w:val="21"/>
        </w:rPr>
        <w:t xml:space="preserve">The user may manage the use of cookies in their browser settings, including blocking and deleting them. Disabling certain cookies may affect the operation of some Website features.</w:t>
      </w:r>
    </w:p>
    <w:p>
      <w:pPr>
        <w:pStyle w:val="Heading2"/>
        <w:keepNext/>
        <w:spacing w:after="140" w:before="300"/>
      </w:pPr>
      <w:r>
        <w:rPr>
          <w:rFonts w:ascii="Arial" w:cs="Arial" w:eastAsia="Arial" w:hAnsi="Arial"/>
          <w:b/>
          <w:bCs/>
          <w:sz w:val="24"/>
          <w:szCs w:val="24"/>
        </w:rPr>
        <w:t xml:space="preserve">10. Personal Data Protection Measures</w:t>
      </w:r>
    </w:p>
    <w:p>
      <w:pPr>
        <w:spacing w:after="120"/>
        <w:jc w:val="both"/>
      </w:pPr>
      <w:r>
        <w:rPr>
          <w:rFonts w:ascii="Arial" w:cs="Arial" w:eastAsia="Arial" w:hAnsi="Arial"/>
          <w:sz w:val="21"/>
          <w:szCs w:val="21"/>
        </w:rPr>
        <w:t xml:space="preserve">The Operator takes the necessary organizational and technical measures to protect personal data against unlawful or accidental access, destruction, alteration, blocking, copying, dissemination and other unlawful actions, including restricting access to data, using secure data transmission channels, and internal information processing regulations.</w:t>
      </w:r>
    </w:p>
    <w:p>
      <w:pPr>
        <w:pStyle w:val="Heading2"/>
        <w:keepNext/>
        <w:spacing w:after="140" w:before="300"/>
      </w:pPr>
      <w:r>
        <w:rPr>
          <w:rFonts w:ascii="Arial" w:cs="Arial" w:eastAsia="Arial" w:hAnsi="Arial"/>
          <w:b/>
          <w:bCs/>
          <w:sz w:val="24"/>
          <w:szCs w:val="24"/>
        </w:rPr>
        <w:t xml:space="preserve">11. Rights of the Personal Data Subject</w:t>
      </w:r>
    </w:p>
    <w:p>
      <w:pPr>
        <w:spacing w:after="120"/>
        <w:jc w:val="both"/>
      </w:pPr>
      <w:r>
        <w:rPr>
          <w:rFonts w:ascii="Arial" w:cs="Arial" w:eastAsia="Arial" w:hAnsi="Arial"/>
          <w:sz w:val="21"/>
          <w:szCs w:val="21"/>
        </w:rPr>
        <w:t xml:space="preserve">The personal data subject has the right to:</w:t>
      </w:r>
    </w:p>
    <w:p>
      <w:pPr>
        <w:spacing w:after="120"/>
        <w:jc w:val="both"/>
      </w:pPr>
      <w:r>
        <w:rPr>
          <w:rFonts w:ascii="Arial" w:cs="Arial" w:eastAsia="Arial" w:hAnsi="Arial"/>
          <w:b/>
          <w:bCs/>
          <w:sz w:val="21"/>
          <w:szCs w:val="21"/>
        </w:rPr>
        <w:t xml:space="preserve">11.1. </w:t>
      </w:r>
      <w:r>
        <w:rPr>
          <w:rFonts w:ascii="Arial" w:cs="Arial" w:eastAsia="Arial" w:hAnsi="Arial"/>
          <w:sz w:val="21"/>
          <w:szCs w:val="21"/>
        </w:rPr>
        <w:t xml:space="preserve">obtain from the Operator information concerning the processing of their personal data;</w:t>
      </w:r>
    </w:p>
    <w:p>
      <w:pPr>
        <w:spacing w:after="120"/>
        <w:jc w:val="both"/>
      </w:pPr>
      <w:r>
        <w:rPr>
          <w:rFonts w:ascii="Arial" w:cs="Arial" w:eastAsia="Arial" w:hAnsi="Arial"/>
          <w:b/>
          <w:bCs/>
          <w:sz w:val="21"/>
          <w:szCs w:val="21"/>
        </w:rPr>
        <w:t xml:space="preserve">11.2. </w:t>
      </w:r>
      <w:r>
        <w:rPr>
          <w:rFonts w:ascii="Arial" w:cs="Arial" w:eastAsia="Arial" w:hAnsi="Arial"/>
          <w:sz w:val="21"/>
          <w:szCs w:val="21"/>
        </w:rPr>
        <w:t xml:space="preserve">require the clarification, blocking or destruction of personal data if it is incomplete, outdated, inaccurate, unlawfully obtained, or not necessary for the stated purpose of processing;</w:t>
      </w:r>
    </w:p>
    <w:p>
      <w:pPr>
        <w:spacing w:after="120"/>
        <w:jc w:val="both"/>
      </w:pPr>
      <w:r>
        <w:rPr>
          <w:rFonts w:ascii="Arial" w:cs="Arial" w:eastAsia="Arial" w:hAnsi="Arial"/>
          <w:b/>
          <w:bCs/>
          <w:sz w:val="21"/>
          <w:szCs w:val="21"/>
        </w:rPr>
        <w:t xml:space="preserve">11.3. </w:t>
      </w:r>
      <w:r>
        <w:rPr>
          <w:rFonts w:ascii="Arial" w:cs="Arial" w:eastAsia="Arial" w:hAnsi="Arial"/>
          <w:sz w:val="21"/>
          <w:szCs w:val="21"/>
        </w:rPr>
        <w:t xml:space="preserve">withdraw consent to the processing of personal data in the manner provided for in Section 12 of this Policy, or in the personal data processing consent signed when entering into the investment agreement;</w:t>
      </w:r>
    </w:p>
    <w:p>
      <w:pPr>
        <w:spacing w:after="120"/>
        <w:jc w:val="both"/>
      </w:pPr>
      <w:r>
        <w:rPr>
          <w:rFonts w:ascii="Arial" w:cs="Arial" w:eastAsia="Arial" w:hAnsi="Arial"/>
          <w:b/>
          <w:bCs/>
          <w:sz w:val="21"/>
          <w:szCs w:val="21"/>
        </w:rPr>
        <w:t xml:space="preserve">11.4. </w:t>
      </w:r>
      <w:r>
        <w:rPr>
          <w:rFonts w:ascii="Arial" w:cs="Arial" w:eastAsia="Arial" w:hAnsi="Arial"/>
          <w:sz w:val="21"/>
          <w:szCs w:val="21"/>
        </w:rPr>
        <w:t xml:space="preserve">lodge a complaint about the actions (or inaction) of the Operator with the State Agency for the Protection of Personal Data under the Cabinet of Ministers of the Kyrgyz Republic or with a court, in the manner established by the legislation of the Kyrgyz Republic.</w:t>
      </w:r>
    </w:p>
    <w:p>
      <w:pPr>
        <w:pStyle w:val="Heading2"/>
        <w:keepNext/>
        <w:spacing w:after="140" w:before="300"/>
      </w:pPr>
      <w:r>
        <w:rPr>
          <w:rFonts w:ascii="Arial" w:cs="Arial" w:eastAsia="Arial" w:hAnsi="Arial"/>
          <w:b/>
          <w:bCs/>
          <w:sz w:val="24"/>
          <w:szCs w:val="24"/>
        </w:rPr>
        <w:t xml:space="preserve">12. Contact Procedure and Operator Contact Details</w:t>
      </w:r>
    </w:p>
    <w:p>
      <w:pPr>
        <w:spacing w:after="120"/>
        <w:jc w:val="both"/>
      </w:pPr>
      <w:r>
        <w:rPr>
          <w:rFonts w:ascii="Arial" w:cs="Arial" w:eastAsia="Arial" w:hAnsi="Arial"/>
          <w:b/>
          <w:bCs/>
          <w:sz w:val="21"/>
          <w:szCs w:val="21"/>
        </w:rPr>
        <w:t xml:space="preserve">12.1. </w:t>
      </w:r>
      <w:r>
        <w:rPr>
          <w:rFonts w:ascii="Arial" w:cs="Arial" w:eastAsia="Arial" w:hAnsi="Arial"/>
          <w:sz w:val="21"/>
          <w:szCs w:val="21"/>
        </w:rPr>
        <w:t xml:space="preserve">For questions regarding the processing of personal data, the exercise of the rights provided for in Section 11 of this Policy, and for the withdrawal of consent, the user may contact the Operator:</w:t>
      </w:r>
    </w:p>
    <w:p>
      <w:pPr>
        <w:pStyle w:val="ListParagraph"/>
        <w:numPr>
          <w:ilvl w:val="0"/>
          <w:numId w:val="2"/>
        </w:numPr>
        <w:spacing w:after="80"/>
      </w:pPr>
      <w:r>
        <w:rPr>
          <w:rFonts w:ascii="Arial" w:cs="Arial" w:eastAsia="Arial" w:hAnsi="Arial"/>
          <w:sz w:val="21"/>
          <w:szCs w:val="21"/>
        </w:rPr>
        <w:t xml:space="preserve">by post: Kyrgyz Republic, Bishkek, Tash-Kumyrskaya St., 9;</w:t>
      </w:r>
    </w:p>
    <w:p>
      <w:pPr>
        <w:pStyle w:val="ListParagraph"/>
        <w:numPr>
          <w:ilvl w:val="0"/>
          <w:numId w:val="2"/>
        </w:numPr>
        <w:spacing w:after="80"/>
      </w:pPr>
      <w:r>
        <w:rPr>
          <w:rFonts w:ascii="Arial" w:cs="Arial" w:eastAsia="Arial" w:hAnsi="Arial"/>
          <w:sz w:val="21"/>
          <w:szCs w:val="21"/>
        </w:rPr>
        <w:t xml:space="preserve">by telephone: +996 222111114;</w:t>
      </w:r>
    </w:p>
    <w:p>
      <w:pPr>
        <w:pStyle w:val="ListParagraph"/>
        <w:numPr>
          <w:ilvl w:val="0"/>
          <w:numId w:val="2"/>
        </w:numPr>
        <w:spacing w:after="80"/>
      </w:pPr>
      <w:r>
        <w:rPr>
          <w:rFonts w:ascii="Arial" w:cs="Arial" w:eastAsia="Arial" w:hAnsi="Arial"/>
          <w:sz w:val="21"/>
          <w:szCs w:val="21"/>
        </w:rPr>
        <w:t xml:space="preserve">by email: info@esmar.kg.</w:t>
      </w:r>
    </w:p>
    <w:p>
      <w:pPr>
        <w:spacing w:after="120"/>
        <w:jc w:val="both"/>
      </w:pPr>
      <w:r>
        <w:rPr>
          <w:rFonts w:ascii="Arial" w:cs="Arial" w:eastAsia="Arial" w:hAnsi="Arial"/>
          <w:b/>
          <w:bCs/>
          <w:sz w:val="21"/>
          <w:szCs w:val="21"/>
        </w:rPr>
        <w:t xml:space="preserve">12.2. </w:t>
      </w:r>
      <w:r>
        <w:rPr>
          <w:rFonts w:ascii="Arial" w:cs="Arial" w:eastAsia="Arial" w:hAnsi="Arial"/>
          <w:sz w:val="21"/>
          <w:szCs w:val="21"/>
        </w:rPr>
        <w:t xml:space="preserve">The Operator reviews inquiries and provides a response within the period established by the legislation of the Kyrgyz Republic.</w:t>
      </w:r>
    </w:p>
    <w:p>
      <w:pPr>
        <w:pStyle w:val="Heading2"/>
        <w:keepNext/>
        <w:spacing w:after="140" w:before="300"/>
      </w:pPr>
      <w:r>
        <w:rPr>
          <w:rFonts w:ascii="Arial" w:cs="Arial" w:eastAsia="Arial" w:hAnsi="Arial"/>
          <w:b/>
          <w:bCs/>
          <w:sz w:val="24"/>
          <w:szCs w:val="24"/>
        </w:rPr>
        <w:t xml:space="preserve">13. Use of the Website by Minors</w:t>
      </w:r>
    </w:p>
    <w:p>
      <w:pPr>
        <w:spacing w:after="120"/>
        <w:jc w:val="both"/>
      </w:pPr>
      <w:r>
        <w:rPr>
          <w:rFonts w:ascii="Arial" w:cs="Arial" w:eastAsia="Arial" w:hAnsi="Arial"/>
          <w:sz w:val="21"/>
          <w:szCs w:val="21"/>
        </w:rPr>
        <w:t xml:space="preserve">The Website is not intended for persons under 18 years of age. The Operator does not knowingly collect personal data of minors. If the Operator becomes aware that the personal data of a minor has been obtained without the consent of their legal representative, such data will be deleted.</w:t>
      </w:r>
    </w:p>
    <w:p>
      <w:pPr>
        <w:pStyle w:val="Heading2"/>
        <w:keepNext/>
        <w:spacing w:after="140" w:before="300"/>
      </w:pPr>
      <w:r>
        <w:rPr>
          <w:rFonts w:ascii="Arial" w:cs="Arial" w:eastAsia="Arial" w:hAnsi="Arial"/>
          <w:b/>
          <w:bCs/>
          <w:sz w:val="24"/>
          <w:szCs w:val="24"/>
        </w:rPr>
        <w:t xml:space="preserve">14. Amendment and Validity of the Policy</w:t>
      </w:r>
    </w:p>
    <w:p>
      <w:pPr>
        <w:spacing w:after="120"/>
        <w:jc w:val="both"/>
      </w:pPr>
      <w:r>
        <w:rPr>
          <w:rFonts w:ascii="Arial" w:cs="Arial" w:eastAsia="Arial" w:hAnsi="Arial"/>
          <w:b/>
          <w:bCs/>
          <w:sz w:val="21"/>
          <w:szCs w:val="21"/>
        </w:rPr>
        <w:t xml:space="preserve">14.1. </w:t>
      </w:r>
      <w:r>
        <w:rPr>
          <w:rFonts w:ascii="Arial" w:cs="Arial" w:eastAsia="Arial" w:hAnsi="Arial"/>
          <w:sz w:val="21"/>
          <w:szCs w:val="21"/>
        </w:rPr>
        <w:t xml:space="preserve">The Operator has the right to amend this Policy. The new version takes effect from the moment it is posted on the Website, unless the new version provides otherwise.</w:t>
      </w:r>
    </w:p>
    <w:p>
      <w:pPr>
        <w:spacing w:after="120"/>
        <w:jc w:val="both"/>
      </w:pPr>
      <w:r>
        <w:rPr>
          <w:rFonts w:ascii="Arial" w:cs="Arial" w:eastAsia="Arial" w:hAnsi="Arial"/>
          <w:b/>
          <w:bCs/>
          <w:sz w:val="21"/>
          <w:szCs w:val="21"/>
        </w:rPr>
        <w:t xml:space="preserve">14.2. </w:t>
      </w:r>
      <w:r>
        <w:rPr>
          <w:rFonts w:ascii="Arial" w:cs="Arial" w:eastAsia="Arial" w:hAnsi="Arial"/>
          <w:sz w:val="21"/>
          <w:szCs w:val="21"/>
        </w:rPr>
        <w:t xml:space="preserve">The current version of the Policy is permanently available on the esmar.kg Website.</w:t>
      </w:r>
    </w:p>
    <w:p>
      <w:pPr>
        <w:spacing w:after="120"/>
        <w:jc w:val="both"/>
      </w:pPr>
      <w:r>
        <w:rPr>
          <w:rFonts w:ascii="Arial" w:cs="Arial" w:eastAsia="Arial" w:hAnsi="Arial"/>
          <w:b/>
          <w:bCs/>
          <w:sz w:val="21"/>
          <w:szCs w:val="21"/>
        </w:rPr>
        <w:t xml:space="preserve">14.3. </w:t>
      </w:r>
      <w:r>
        <w:rPr>
          <w:rFonts w:ascii="Arial" w:cs="Arial" w:eastAsia="Arial" w:hAnsi="Arial"/>
          <w:sz w:val="21"/>
          <w:szCs w:val="21"/>
        </w:rPr>
        <w:t xml:space="preserve">This version of the Policy was approved and has been in effect since August 24, 2026.</w:t>
      </w:r>
    </w:p>
    <w:p>
      <w:pPr>
        <w:pStyle w:val="Heading2"/>
        <w:keepNext/>
        <w:spacing w:after="140" w:before="300"/>
      </w:pPr>
      <w:r>
        <w:rPr>
          <w:rFonts w:ascii="Arial" w:cs="Arial" w:eastAsia="Arial" w:hAnsi="Arial"/>
          <w:b/>
          <w:bCs/>
          <w:sz w:val="24"/>
          <w:szCs w:val="24"/>
        </w:rPr>
        <w:t xml:space="preserve">15. Final Provisions</w:t>
      </w:r>
    </w:p>
    <w:p>
      <w:pPr>
        <w:spacing w:after="120"/>
        <w:jc w:val="both"/>
      </w:pPr>
      <w:r>
        <w:rPr>
          <w:rFonts w:ascii="Arial" w:cs="Arial" w:eastAsia="Arial" w:hAnsi="Arial"/>
          <w:b/>
          <w:bCs/>
          <w:sz w:val="21"/>
          <w:szCs w:val="21"/>
        </w:rPr>
        <w:t xml:space="preserve">15.1. </w:t>
      </w:r>
      <w:r>
        <w:rPr>
          <w:rFonts w:ascii="Arial" w:cs="Arial" w:eastAsia="Arial" w:hAnsi="Arial"/>
          <w:sz w:val="21"/>
          <w:szCs w:val="21"/>
        </w:rPr>
        <w:t xml:space="preserve">This Policy is an integral part of the terms of use of the esmar.kg Website.</w:t>
      </w:r>
    </w:p>
    <w:p>
      <w:pPr>
        <w:spacing w:after="120"/>
        <w:jc w:val="both"/>
      </w:pPr>
      <w:r>
        <w:rPr>
          <w:rFonts w:ascii="Arial" w:cs="Arial" w:eastAsia="Arial" w:hAnsi="Arial"/>
          <w:b/>
          <w:bCs/>
          <w:sz w:val="21"/>
          <w:szCs w:val="21"/>
        </w:rPr>
        <w:t xml:space="preserve">15.2. </w:t>
      </w:r>
      <w:r>
        <w:rPr>
          <w:rFonts w:ascii="Arial" w:cs="Arial" w:eastAsia="Arial" w:hAnsi="Arial"/>
          <w:sz w:val="21"/>
          <w:szCs w:val="21"/>
        </w:rPr>
        <w:t xml:space="preserve">Matters not regulated by this Policy shall be resolved in accordance with the legislation of the Kyrgyz Republic.</w:t>
      </w:r>
    </w:p>
    <w:sectPr>
      <w:footerReference w:type="default" r:id="rId7"/>
      <w:pgSz w:w="11906" w:h="16838" w:orient="portrait"/>
      <w:pgMar w:top="12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F7F7F"/>
        <w:sz w:val="16"/>
        <w:szCs w:val="16"/>
      </w:rPr>
      <w:t xml:space="preserve">ESMAR.KG — Privacy Policy  |  </w:t>
    </w:r>
    <w:r>
      <w:rPr>
        <w:rFonts w:ascii="Arial" w:cs="Arial" w:eastAsia="Arial" w:hAnsi="Arial"/>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outlineLvl w:val="1"/>
    </w:pPr>
    <w:rPr>
      <w:rFonts w:ascii="Arial" w:cs="Arial" w:eastAsia="Arial" w:hAnsi="Arial"/>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 OF THE ESMAR.KG WEBSITE</dc:title>
  <dc:creator>UK Nur Capital</dc:creator>
  <cp:lastModifiedBy>Un-named</cp:lastModifiedBy>
  <cp:revision>1</cp:revision>
  <dcterms:created xsi:type="dcterms:W3CDTF">2026-09-21T10:36:58.261Z</dcterms:created>
  <dcterms:modified xsi:type="dcterms:W3CDTF">2026-09-21T10:36:58.261Z</dcterms:modified>
</cp:coreProperties>
</file>

<file path=docProps/custom.xml><?xml version="1.0" encoding="utf-8"?>
<Properties xmlns="http://schemas.openxmlformats.org/officeDocument/2006/custom-properties" xmlns:vt="http://schemas.openxmlformats.org/officeDocument/2006/docPropsVTypes"/>
</file>